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spacing w:line="440" w:lineRule="exact"/>
        <w:contextualSpacing/>
        <w:jc w:val="center"/>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rPr>
        <w:t xml:space="preserve">证券代码：000966         </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 xml:space="preserve">证券简称：长源电力       </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公告编号：</w:t>
      </w:r>
      <w:r>
        <w:rPr>
          <w:rFonts w:hint="default" w:ascii="Times New Roman" w:hAnsi="Times New Roman" w:cs="Times New Roman"/>
          <w:sz w:val="24"/>
          <w:szCs w:val="24"/>
          <w:highlight w:val="none"/>
          <w:lang w:val="en-US" w:eastAsia="zh-CN"/>
        </w:rPr>
        <w:t>202</w:t>
      </w:r>
      <w:r>
        <w:rPr>
          <w:rFonts w:hint="eastAsia" w:cs="Times New Roman"/>
          <w:sz w:val="24"/>
          <w:szCs w:val="24"/>
          <w:highlight w:val="none"/>
          <w:lang w:val="en-US" w:eastAsia="zh-CN"/>
        </w:rPr>
        <w:t>6</w:t>
      </w:r>
      <w:r>
        <w:rPr>
          <w:rFonts w:hint="default" w:ascii="Times New Roman" w:hAnsi="Times New Roman" w:cs="Times New Roman"/>
          <w:sz w:val="24"/>
          <w:szCs w:val="24"/>
          <w:highlight w:val="none"/>
          <w:lang w:val="en-US" w:eastAsia="zh-CN"/>
        </w:rPr>
        <w:t>-</w:t>
      </w:r>
      <w:r>
        <w:rPr>
          <w:rFonts w:hint="eastAsia" w:cs="Times New Roman"/>
          <w:sz w:val="24"/>
          <w:szCs w:val="24"/>
          <w:highlight w:val="none"/>
          <w:lang w:val="en-US" w:eastAsia="zh-CN"/>
        </w:rPr>
        <w:t>060</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spacing w:line="440" w:lineRule="exact"/>
        <w:contextualSpacing/>
        <w:jc w:val="center"/>
        <w:textAlignment w:val="auto"/>
        <w:rPr>
          <w:rFonts w:hint="default" w:ascii="Times New Roman" w:hAnsi="Times New Roman" w:eastAsia="方正小标宋简体" w:cs="Times New Roman"/>
          <w:b w:val="0"/>
          <w:bCs w:val="0"/>
          <w:color w:val="000000"/>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default" w:ascii="Times New Roman" w:hAnsi="Times New Roman" w:eastAsia="方正小标宋简体" w:cs="Times New Roman"/>
          <w:b w:val="0"/>
          <w:bCs w:val="0"/>
          <w:sz w:val="32"/>
          <w:szCs w:val="32"/>
          <w:highlight w:val="none"/>
          <w:lang w:val="en-US" w:eastAsia="zh-CN"/>
        </w:rPr>
      </w:pPr>
      <w:r>
        <w:rPr>
          <w:rFonts w:hint="default" w:ascii="Times New Roman" w:hAnsi="Times New Roman" w:eastAsia="方正小标宋简体" w:cs="Times New Roman"/>
          <w:b w:val="0"/>
          <w:bCs w:val="0"/>
          <w:sz w:val="32"/>
          <w:szCs w:val="32"/>
          <w:highlight w:val="none"/>
          <w:lang w:val="en-US" w:eastAsia="zh-CN"/>
        </w:rPr>
        <w:t>国家能源集团长源电力股份有限公司</w:t>
      </w:r>
    </w:p>
    <w:p>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default" w:ascii="Times New Roman" w:hAnsi="Times New Roman" w:eastAsia="方正小标宋简体" w:cs="Times New Roman"/>
          <w:b w:val="0"/>
          <w:bCs w:val="0"/>
          <w:sz w:val="32"/>
          <w:szCs w:val="32"/>
          <w:highlight w:val="none"/>
          <w:lang w:val="en-US" w:eastAsia="zh-CN"/>
        </w:rPr>
      </w:pPr>
      <w:r>
        <w:rPr>
          <w:rFonts w:hint="default" w:ascii="Times New Roman" w:hAnsi="Times New Roman" w:eastAsia="方正小标宋简体" w:cs="Times New Roman"/>
          <w:b w:val="0"/>
          <w:bCs w:val="0"/>
          <w:sz w:val="32"/>
          <w:szCs w:val="32"/>
          <w:highlight w:val="none"/>
          <w:lang w:val="en-US" w:eastAsia="zh-CN"/>
        </w:rPr>
        <w:t>关于</w:t>
      </w:r>
      <w:r>
        <w:rPr>
          <w:rFonts w:hint="eastAsia" w:ascii="Times New Roman" w:hAnsi="Times New Roman" w:eastAsia="方正小标宋简体" w:cs="Times New Roman"/>
          <w:b w:val="0"/>
          <w:bCs w:val="0"/>
          <w:sz w:val="32"/>
          <w:szCs w:val="32"/>
          <w:highlight w:val="none"/>
          <w:lang w:val="en-US" w:eastAsia="zh-CN"/>
        </w:rPr>
        <w:t>控股</w:t>
      </w:r>
      <w:r>
        <w:rPr>
          <w:rFonts w:hint="default" w:ascii="Times New Roman" w:hAnsi="Times New Roman" w:eastAsia="方正小标宋简体" w:cs="Times New Roman"/>
          <w:b w:val="0"/>
          <w:bCs w:val="0"/>
          <w:sz w:val="32"/>
          <w:szCs w:val="32"/>
          <w:highlight w:val="none"/>
          <w:lang w:val="en-US" w:eastAsia="zh-CN"/>
        </w:rPr>
        <w:t>子公司长源电力</w:t>
      </w:r>
      <w:r>
        <w:rPr>
          <w:rFonts w:hint="eastAsia" w:ascii="Times New Roman" w:hAnsi="Times New Roman" w:eastAsia="方正小标宋简体" w:cs="Times New Roman"/>
          <w:b w:val="0"/>
          <w:bCs w:val="0"/>
          <w:sz w:val="32"/>
          <w:szCs w:val="32"/>
          <w:highlight w:val="none"/>
          <w:lang w:val="en-US" w:eastAsia="zh-CN"/>
        </w:rPr>
        <w:t>随州</w:t>
      </w:r>
      <w:r>
        <w:rPr>
          <w:rFonts w:hint="default" w:ascii="Times New Roman" w:hAnsi="Times New Roman" w:eastAsia="方正小标宋简体" w:cs="Times New Roman"/>
          <w:b w:val="0"/>
          <w:bCs w:val="0"/>
          <w:sz w:val="32"/>
          <w:szCs w:val="32"/>
          <w:highlight w:val="none"/>
          <w:lang w:val="en-US" w:eastAsia="zh-CN"/>
        </w:rPr>
        <w:t>公司</w:t>
      </w:r>
      <w:r>
        <w:rPr>
          <w:rFonts w:hint="eastAsia" w:ascii="Times New Roman" w:hAnsi="Times New Roman" w:eastAsia="方正小标宋简体" w:cs="Times New Roman"/>
          <w:b w:val="0"/>
          <w:bCs w:val="0"/>
          <w:sz w:val="32"/>
          <w:szCs w:val="32"/>
          <w:highlight w:val="none"/>
          <w:lang w:val="en-US" w:eastAsia="zh-CN"/>
        </w:rPr>
        <w:t>2×660MW机组灵活性（火储联合调频）技术改造EPC公开招标</w:t>
      </w:r>
      <w:r>
        <w:rPr>
          <w:rFonts w:hint="default" w:ascii="Times New Roman" w:hAnsi="Times New Roman" w:eastAsia="方正小标宋简体" w:cs="Times New Roman"/>
          <w:b w:val="0"/>
          <w:bCs w:val="0"/>
          <w:sz w:val="32"/>
          <w:szCs w:val="32"/>
          <w:highlight w:val="none"/>
          <w:lang w:val="en-US" w:eastAsia="zh-CN"/>
        </w:rPr>
        <w:t>关联交易的</w:t>
      </w:r>
    </w:p>
    <w:p>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default" w:ascii="Times New Roman" w:hAnsi="Times New Roman" w:eastAsia="方正小标宋简体" w:cs="Times New Roman"/>
          <w:b w:val="0"/>
          <w:bCs w:val="0"/>
          <w:sz w:val="32"/>
          <w:szCs w:val="32"/>
          <w:highlight w:val="none"/>
          <w:lang w:val="en-US" w:eastAsia="zh-CN"/>
        </w:rPr>
      </w:pPr>
      <w:r>
        <w:rPr>
          <w:rFonts w:hint="default" w:ascii="Times New Roman" w:hAnsi="Times New Roman" w:eastAsia="方正小标宋简体" w:cs="Times New Roman"/>
          <w:b w:val="0"/>
          <w:bCs w:val="0"/>
          <w:sz w:val="32"/>
          <w:szCs w:val="32"/>
          <w:highlight w:val="none"/>
          <w:lang w:val="en-US" w:eastAsia="zh-CN"/>
        </w:rPr>
        <w:t>进展公告</w:t>
      </w:r>
    </w:p>
    <w:p>
      <w:pPr>
        <w:keepNext w:val="0"/>
        <w:keepLines w:val="0"/>
        <w:pageBreakBefore w:val="0"/>
        <w:widowControl w:val="0"/>
        <w:kinsoku/>
        <w:wordWrap/>
        <w:overflowPunct/>
        <w:topLinePunct w:val="0"/>
        <w:bidi w:val="0"/>
        <w:adjustRightInd w:val="0"/>
        <w:snapToGrid w:val="0"/>
        <w:spacing w:line="440" w:lineRule="exact"/>
        <w:jc w:val="center"/>
        <w:textAlignment w:val="auto"/>
        <w:rPr>
          <w:rFonts w:hint="default" w:ascii="Times New Roman" w:hAnsi="Times New Roman" w:eastAsia="方正小标宋简体" w:cs="Times New Roman"/>
          <w:b w:val="0"/>
          <w:bCs w:val="0"/>
          <w:sz w:val="32"/>
          <w:szCs w:val="32"/>
          <w:highlight w:val="none"/>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522" w:type="dxa"/>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80" w:lineRule="exact"/>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本公司及董事会全体成员保证信息披露的内容真实、准确、完整</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没有虚假记载、误导性陈述或重大遗漏。</w:t>
            </w:r>
          </w:p>
        </w:tc>
      </w:tr>
    </w:tbl>
    <w:p>
      <w:pPr>
        <w:keepNext w:val="0"/>
        <w:keepLines w:val="0"/>
        <w:pageBreakBefore w:val="0"/>
        <w:widowControl w:val="0"/>
        <w:kinsoku/>
        <w:wordWrap/>
        <w:overflowPunct/>
        <w:topLinePunct w:val="0"/>
        <w:bidi w:val="0"/>
        <w:spacing w:line="380" w:lineRule="exact"/>
        <w:contextualSpacing/>
        <w:textAlignment w:val="auto"/>
        <w:rPr>
          <w:rFonts w:hint="default" w:ascii="Times New Roman" w:hAnsi="Times New Roman" w:eastAsia="宋体" w:cs="Times New Roman"/>
          <w:b/>
          <w:sz w:val="24"/>
          <w:highlight w:val="none"/>
        </w:rPr>
      </w:pP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b/>
          <w:color w:val="000000"/>
          <w:sz w:val="24"/>
          <w:highlight w:val="none"/>
        </w:rPr>
      </w:pPr>
      <w:r>
        <w:rPr>
          <w:rFonts w:hint="default" w:ascii="Times New Roman" w:hAnsi="Times New Roman" w:eastAsia="宋体" w:cs="Times New Roman"/>
          <w:b/>
          <w:color w:val="000000"/>
          <w:sz w:val="24"/>
          <w:highlight w:val="none"/>
        </w:rPr>
        <w:t>一、关联交易情况概述</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eastAsia="宋体" w:cs="Times New Roman"/>
          <w:b/>
          <w:color w:val="auto"/>
          <w:sz w:val="24"/>
          <w:highlight w:val="none"/>
        </w:rPr>
      </w:pPr>
      <w:r>
        <w:rPr>
          <w:rFonts w:hint="default" w:ascii="Times New Roman" w:hAnsi="Times New Roman" w:cs="Times New Roman"/>
          <w:sz w:val="24"/>
          <w:highlight w:val="none"/>
          <w:lang w:val="en-US" w:eastAsia="zh-CN"/>
        </w:rPr>
        <w:t>公司</w:t>
      </w:r>
      <w:r>
        <w:rPr>
          <w:rFonts w:hint="eastAsia" w:cs="Times New Roman"/>
          <w:sz w:val="24"/>
          <w:highlight w:val="none"/>
          <w:lang w:val="en-US" w:eastAsia="zh-CN"/>
        </w:rPr>
        <w:t>控股</w:t>
      </w:r>
      <w:r>
        <w:rPr>
          <w:rFonts w:hint="default" w:ascii="Times New Roman" w:hAnsi="Times New Roman" w:cs="Times New Roman"/>
          <w:sz w:val="24"/>
          <w:highlight w:val="none"/>
          <w:lang w:val="en-US" w:eastAsia="zh-CN"/>
        </w:rPr>
        <w:t>子公司国能长源</w:t>
      </w:r>
      <w:r>
        <w:rPr>
          <w:rFonts w:hint="eastAsia" w:cs="Times New Roman"/>
          <w:sz w:val="24"/>
          <w:highlight w:val="none"/>
          <w:lang w:val="en-US" w:eastAsia="zh-CN"/>
        </w:rPr>
        <w:t>随州</w:t>
      </w:r>
      <w:r>
        <w:rPr>
          <w:rFonts w:hint="eastAsia" w:ascii="Times New Roman" w:hAnsi="Times New Roman" w:cs="Times New Roman"/>
          <w:sz w:val="24"/>
          <w:highlight w:val="none"/>
          <w:lang w:val="en-US" w:eastAsia="zh-CN"/>
        </w:rPr>
        <w:t>发电</w:t>
      </w:r>
      <w:r>
        <w:rPr>
          <w:rFonts w:hint="default" w:ascii="Times New Roman" w:hAnsi="Times New Roman" w:cs="Times New Roman"/>
          <w:sz w:val="24"/>
          <w:highlight w:val="none"/>
          <w:lang w:val="en-US" w:eastAsia="zh-CN"/>
        </w:rPr>
        <w:t>有限公司（以下简称</w:t>
      </w:r>
      <w:r>
        <w:rPr>
          <w:rFonts w:hint="eastAsia" w:cs="Times New Roman"/>
          <w:sz w:val="24"/>
          <w:highlight w:val="none"/>
          <w:lang w:val="en-US" w:eastAsia="zh-CN"/>
        </w:rPr>
        <w:t>随州</w:t>
      </w:r>
      <w:r>
        <w:rPr>
          <w:rFonts w:hint="default" w:ascii="Times New Roman" w:hAnsi="Times New Roman" w:cs="Times New Roman"/>
          <w:sz w:val="24"/>
          <w:highlight w:val="none"/>
          <w:lang w:val="en-US" w:eastAsia="zh-CN"/>
        </w:rPr>
        <w:t>公司）经公开招标，确定</w:t>
      </w:r>
      <w:r>
        <w:rPr>
          <w:rFonts w:hint="eastAsia" w:ascii="Times New Roman" w:hAnsi="Times New Roman" w:cs="Times New Roman"/>
          <w:sz w:val="24"/>
          <w:highlight w:val="none"/>
          <w:lang w:val="en-US" w:eastAsia="zh-CN"/>
        </w:rPr>
        <w:t>国能龙源环保有限公司</w:t>
      </w:r>
      <w:r>
        <w:rPr>
          <w:rFonts w:hint="default" w:ascii="Times New Roman" w:hAnsi="Times New Roman" w:cs="Times New Roman"/>
          <w:sz w:val="24"/>
          <w:highlight w:val="none"/>
          <w:lang w:val="en-US" w:eastAsia="zh-CN"/>
        </w:rPr>
        <w:t>（以下简称</w:t>
      </w:r>
      <w:r>
        <w:rPr>
          <w:rFonts w:hint="eastAsia" w:cs="Times New Roman"/>
          <w:sz w:val="24"/>
          <w:highlight w:val="none"/>
          <w:lang w:val="en-US" w:eastAsia="zh-CN"/>
        </w:rPr>
        <w:t>龙源环保</w:t>
      </w:r>
      <w:r>
        <w:rPr>
          <w:rFonts w:hint="default" w:ascii="Times New Roman" w:hAnsi="Times New Roman" w:cs="Times New Roman"/>
          <w:sz w:val="24"/>
          <w:highlight w:val="none"/>
          <w:lang w:val="en-US" w:eastAsia="zh-CN"/>
        </w:rPr>
        <w:t>）为长源电力</w:t>
      </w:r>
      <w:r>
        <w:rPr>
          <w:rFonts w:hint="eastAsia" w:ascii="Times New Roman" w:hAnsi="Times New Roman" w:cs="Times New Roman"/>
          <w:sz w:val="24"/>
          <w:highlight w:val="none"/>
          <w:lang w:val="en-US" w:eastAsia="zh-CN"/>
        </w:rPr>
        <w:t>随州</w:t>
      </w:r>
      <w:r>
        <w:rPr>
          <w:rFonts w:hint="default" w:ascii="Times New Roman" w:hAnsi="Times New Roman" w:cs="Times New Roman"/>
          <w:sz w:val="24"/>
          <w:highlight w:val="none"/>
          <w:lang w:val="en-US" w:eastAsia="zh-CN"/>
        </w:rPr>
        <w:t>公司</w:t>
      </w:r>
      <w:r>
        <w:rPr>
          <w:rFonts w:hint="eastAsia" w:ascii="Times New Roman" w:hAnsi="Times New Roman" w:cs="Times New Roman"/>
          <w:sz w:val="24"/>
          <w:highlight w:val="none"/>
          <w:lang w:val="en-US" w:eastAsia="zh-CN"/>
        </w:rPr>
        <w:t>2×660MW机组灵活性（火储联合调频）技术改造EPC</w:t>
      </w:r>
      <w:r>
        <w:rPr>
          <w:rFonts w:hint="default" w:ascii="Times New Roman" w:hAnsi="Times New Roman" w:cs="Times New Roman"/>
          <w:color w:val="auto"/>
          <w:sz w:val="24"/>
          <w:highlight w:val="none"/>
        </w:rPr>
        <w:t>公开招标</w:t>
      </w:r>
      <w:r>
        <w:rPr>
          <w:rFonts w:hint="default" w:ascii="Times New Roman" w:hAnsi="Times New Roman" w:cs="Times New Roman"/>
          <w:color w:val="auto"/>
          <w:sz w:val="24"/>
          <w:highlight w:val="none"/>
          <w:lang w:val="en-US" w:eastAsia="zh-CN"/>
        </w:rPr>
        <w:t>项目的中标方，项目中标金额为</w:t>
      </w:r>
      <w:r>
        <w:rPr>
          <w:rFonts w:hint="eastAsia" w:cs="Times New Roman"/>
          <w:color w:val="auto"/>
          <w:sz w:val="24"/>
          <w:highlight w:val="none"/>
          <w:lang w:val="en-US" w:eastAsia="zh-CN"/>
        </w:rPr>
        <w:t>3,050</w:t>
      </w:r>
      <w:r>
        <w:rPr>
          <w:rFonts w:hint="default" w:ascii="Times New Roman" w:hAnsi="Times New Roman" w:cs="Times New Roman"/>
          <w:color w:val="auto"/>
          <w:sz w:val="24"/>
          <w:highlight w:val="none"/>
          <w:lang w:val="en-US" w:eastAsia="zh-CN"/>
        </w:rPr>
        <w:t>万元（具体内容详见公司于202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cs="Times New Roman"/>
          <w:color w:val="auto"/>
          <w:sz w:val="24"/>
          <w:highlight w:val="none"/>
          <w:lang w:val="en-US" w:eastAsia="zh-CN"/>
        </w:rPr>
        <w:t>9</w:t>
      </w:r>
      <w:r>
        <w:rPr>
          <w:rFonts w:hint="default" w:ascii="Times New Roman" w:hAnsi="Times New Roman" w:cs="Times New Roman"/>
          <w:color w:val="auto"/>
          <w:sz w:val="24"/>
          <w:highlight w:val="none"/>
          <w:lang w:val="en-US" w:eastAsia="zh-CN"/>
        </w:rPr>
        <w:t>月</w:t>
      </w:r>
      <w:r>
        <w:rPr>
          <w:rFonts w:hint="eastAsia" w:cs="Times New Roman"/>
          <w:color w:val="auto"/>
          <w:sz w:val="24"/>
          <w:highlight w:val="none"/>
          <w:lang w:val="en-US" w:eastAsia="zh-CN"/>
        </w:rPr>
        <w:t>16</w:t>
      </w:r>
      <w:r>
        <w:rPr>
          <w:rFonts w:hint="default" w:ascii="Times New Roman" w:hAnsi="Times New Roman" w:cs="Times New Roman"/>
          <w:color w:val="auto"/>
          <w:sz w:val="24"/>
          <w:highlight w:val="none"/>
          <w:lang w:val="en-US" w:eastAsia="zh-CN"/>
        </w:rPr>
        <w:t>日在《中国证券报》《证券时报》和巨潮资讯网上披露的《</w:t>
      </w:r>
      <w:r>
        <w:rPr>
          <w:rFonts w:hint="default" w:ascii="Times New Roman" w:hAnsi="Times New Roman" w:cs="Times New Roman"/>
          <w:color w:val="auto"/>
          <w:sz w:val="24"/>
          <w:highlight w:val="none"/>
        </w:rPr>
        <w:t>关于控股子公司长源电力随州公司2×660MW机组灵活性(火储联合调频)技术改造EPC公开招标关联交易的公告</w:t>
      </w:r>
      <w:r>
        <w:rPr>
          <w:rFonts w:hint="default" w:ascii="Times New Roman" w:hAnsi="Times New Roman" w:cs="Times New Roman"/>
          <w:color w:val="auto"/>
          <w:sz w:val="24"/>
          <w:highlight w:val="none"/>
          <w:lang w:val="en-US" w:eastAsia="zh-CN"/>
        </w:rPr>
        <w:t>》，公告编号：202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055）</w:t>
      </w:r>
      <w:r>
        <w:rPr>
          <w:rFonts w:hint="default" w:ascii="Times New Roman" w:hAnsi="Times New Roman" w:cs="Times New Roman"/>
          <w:color w:val="auto"/>
          <w:sz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b/>
          <w:color w:val="000000"/>
          <w:sz w:val="24"/>
          <w:highlight w:val="none"/>
        </w:rPr>
      </w:pPr>
      <w:r>
        <w:rPr>
          <w:rFonts w:hint="default" w:ascii="Times New Roman" w:hAnsi="Times New Roman" w:eastAsia="宋体" w:cs="Times New Roman"/>
          <w:b/>
          <w:sz w:val="24"/>
          <w:highlight w:val="none"/>
        </w:rPr>
        <w:t>二、关联交易进展情况</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2026年</w:t>
      </w:r>
      <w:r>
        <w:rPr>
          <w:rFonts w:hint="eastAsia" w:cs="Times New Roman"/>
          <w:color w:val="auto"/>
          <w:sz w:val="24"/>
          <w:highlight w:val="none"/>
          <w:lang w:val="en-US" w:eastAsia="zh-CN"/>
        </w:rPr>
        <w:t>10</w:t>
      </w:r>
      <w:r>
        <w:rPr>
          <w:rFonts w:hint="default" w:ascii="Times New Roman" w:hAnsi="Times New Roman" w:cs="Times New Roman"/>
          <w:color w:val="auto"/>
          <w:sz w:val="24"/>
          <w:highlight w:val="none"/>
        </w:rPr>
        <w:t>月11日，</w:t>
      </w:r>
      <w:r>
        <w:rPr>
          <w:rFonts w:hint="eastAsia" w:cs="Times New Roman"/>
          <w:color w:val="auto"/>
          <w:sz w:val="24"/>
          <w:highlight w:val="none"/>
          <w:lang w:val="en-US" w:eastAsia="zh-CN"/>
        </w:rPr>
        <w:t>随州</w:t>
      </w:r>
      <w:r>
        <w:rPr>
          <w:rFonts w:hint="default" w:ascii="Times New Roman" w:hAnsi="Times New Roman" w:cs="Times New Roman"/>
          <w:color w:val="auto"/>
          <w:sz w:val="24"/>
          <w:highlight w:val="none"/>
        </w:rPr>
        <w:t>公司与</w:t>
      </w:r>
      <w:r>
        <w:rPr>
          <w:rFonts w:hint="eastAsia" w:cs="Times New Roman"/>
          <w:sz w:val="24"/>
          <w:highlight w:val="none"/>
          <w:lang w:val="en-US" w:eastAsia="zh-CN"/>
        </w:rPr>
        <w:t>龙源环保</w:t>
      </w:r>
      <w:r>
        <w:rPr>
          <w:rFonts w:hint="default" w:ascii="Times New Roman" w:hAnsi="Times New Roman" w:cs="Times New Roman"/>
          <w:color w:val="auto"/>
          <w:sz w:val="24"/>
          <w:highlight w:val="none"/>
        </w:rPr>
        <w:t>签署了《国能长源随州发电有限公司2×660MW机组灵活性（火储联合调频）技术改造EPC项目合同》，其主要内容如下：</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82" w:firstLineChars="200"/>
        <w:contextualSpacing/>
        <w:textAlignment w:val="auto"/>
        <w:rPr>
          <w:rFonts w:hint="eastAsia" w:ascii="Times New Roman" w:hAnsi="Times New Roman" w:cs="Times New Roman"/>
          <w:sz w:val="24"/>
          <w:highlight w:val="none"/>
          <w:lang w:val="en-US" w:eastAsia="zh-CN"/>
        </w:rPr>
      </w:pPr>
      <w:r>
        <w:rPr>
          <w:rFonts w:hint="eastAsia" w:cs="Times New Roman"/>
          <w:b/>
          <w:sz w:val="24"/>
          <w:highlight w:val="none"/>
          <w:lang w:val="en-US" w:eastAsia="zh-CN"/>
        </w:rPr>
        <w:t xml:space="preserve">1. </w:t>
      </w:r>
      <w:r>
        <w:rPr>
          <w:rFonts w:hint="default" w:ascii="Times New Roman" w:hAnsi="Times New Roman" w:eastAsia="宋体" w:cs="Times New Roman"/>
          <w:b/>
          <w:sz w:val="24"/>
          <w:highlight w:val="none"/>
        </w:rPr>
        <w:t>合同标的：</w:t>
      </w:r>
      <w:r>
        <w:rPr>
          <w:rFonts w:hint="eastAsia" w:cs="Times New Roman"/>
          <w:b w:val="0"/>
          <w:bCs/>
          <w:sz w:val="24"/>
          <w:highlight w:val="none"/>
          <w:lang w:val="en-US" w:eastAsia="zh-CN"/>
        </w:rPr>
        <w:t>甲方</w:t>
      </w:r>
      <w:r>
        <w:rPr>
          <w:rFonts w:hint="default" w:ascii="Times New Roman" w:hAnsi="Times New Roman" w:cs="Times New Roman"/>
          <w:bCs/>
          <w:sz w:val="24"/>
          <w:highlight w:val="none"/>
        </w:rPr>
        <w:t>（</w:t>
      </w:r>
      <w:r>
        <w:rPr>
          <w:rFonts w:hint="eastAsia" w:cs="Times New Roman"/>
          <w:bCs/>
          <w:sz w:val="24"/>
          <w:highlight w:val="none"/>
          <w:lang w:val="en-US" w:eastAsia="zh-CN"/>
        </w:rPr>
        <w:t>随州</w:t>
      </w:r>
      <w:r>
        <w:rPr>
          <w:rFonts w:hint="default" w:ascii="Times New Roman" w:hAnsi="Times New Roman" w:cs="Times New Roman"/>
          <w:bCs/>
          <w:sz w:val="24"/>
          <w:highlight w:val="none"/>
        </w:rPr>
        <w:t>公司，下同）同意</w:t>
      </w:r>
      <w:r>
        <w:rPr>
          <w:rFonts w:hint="eastAsia" w:cs="Times New Roman"/>
          <w:bCs/>
          <w:sz w:val="24"/>
          <w:highlight w:val="none"/>
          <w:lang w:val="en-US" w:eastAsia="zh-CN"/>
        </w:rPr>
        <w:t>乙方</w:t>
      </w:r>
      <w:r>
        <w:rPr>
          <w:rFonts w:hint="default" w:ascii="Times New Roman" w:hAnsi="Times New Roman" w:cs="Times New Roman"/>
          <w:bCs/>
          <w:sz w:val="24"/>
          <w:highlight w:val="none"/>
        </w:rPr>
        <w:t>（</w:t>
      </w:r>
      <w:r>
        <w:rPr>
          <w:rFonts w:hint="eastAsia" w:cs="Times New Roman"/>
          <w:sz w:val="24"/>
          <w:highlight w:val="none"/>
          <w:lang w:val="en-US" w:eastAsia="zh-CN"/>
        </w:rPr>
        <w:t>龙源环保</w:t>
      </w:r>
      <w:r>
        <w:rPr>
          <w:rFonts w:hint="default" w:ascii="Times New Roman" w:hAnsi="Times New Roman" w:cs="Times New Roman"/>
          <w:bCs/>
          <w:sz w:val="24"/>
          <w:highlight w:val="none"/>
        </w:rPr>
        <w:t>，下同）通过</w:t>
      </w:r>
      <w:r>
        <w:rPr>
          <w:rFonts w:hint="eastAsia" w:cs="Times New Roman"/>
          <w:bCs/>
          <w:sz w:val="24"/>
          <w:highlight w:val="none"/>
          <w:lang w:val="en-US" w:eastAsia="zh-CN"/>
        </w:rPr>
        <w:t>提供随州公司</w:t>
      </w:r>
      <w:r>
        <w:rPr>
          <w:rFonts w:hint="eastAsia" w:ascii="Times New Roman" w:hAnsi="Times New Roman" w:cs="Times New Roman"/>
          <w:sz w:val="24"/>
          <w:highlight w:val="none"/>
          <w:lang w:val="en-US" w:eastAsia="zh-CN"/>
        </w:rPr>
        <w:t>2×660MW机组灵活性（火储联合调频）技术改造</w:t>
      </w:r>
      <w:r>
        <w:rPr>
          <w:rFonts w:hint="default" w:ascii="Times New Roman" w:hAnsi="Times New Roman" w:cs="Times New Roman"/>
          <w:sz w:val="24"/>
          <w:highlight w:val="none"/>
          <w:lang w:val="en-US" w:eastAsia="zh-CN"/>
        </w:rPr>
        <w:t>，</w:t>
      </w:r>
      <w:r>
        <w:rPr>
          <w:rFonts w:hint="eastAsia" w:cs="Times New Roman"/>
          <w:sz w:val="24"/>
          <w:highlight w:val="none"/>
          <w:lang w:val="en-US" w:eastAsia="zh-CN"/>
        </w:rPr>
        <w:t>包括</w:t>
      </w:r>
      <w:r>
        <w:rPr>
          <w:rFonts w:hint="eastAsia" w:ascii="Times New Roman" w:hAnsi="Times New Roman" w:cs="Times New Roman"/>
          <w:sz w:val="24"/>
          <w:highlight w:val="none"/>
          <w:lang w:val="en-US" w:eastAsia="zh-CN"/>
        </w:rPr>
        <w:t>工程设计、设备材料供货以及安装、试验、调试和缺陷补救等服务，</w:t>
      </w:r>
      <w:r>
        <w:rPr>
          <w:rFonts w:hint="eastAsia" w:cs="Times New Roman"/>
          <w:sz w:val="24"/>
          <w:highlight w:val="none"/>
          <w:lang w:val="en-US" w:eastAsia="zh-CN"/>
        </w:rPr>
        <w:t>实现火电机组与储能协同相应调度AGC指令</w:t>
      </w:r>
      <w:r>
        <w:rPr>
          <w:rFonts w:hint="eastAsia" w:ascii="Times New Roman" w:hAnsi="Times New Roman" w:cs="Times New Roman"/>
          <w:sz w:val="24"/>
          <w:highlight w:val="none"/>
          <w:lang w:val="en-US" w:eastAsia="zh-CN"/>
        </w:rPr>
        <w:t>，从AGC辅助服务补偿中获得经济收益。</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color w:val="000000"/>
          <w:sz w:val="24"/>
          <w:highlight w:val="none"/>
        </w:rPr>
      </w:pPr>
      <w:r>
        <w:rPr>
          <w:rFonts w:hint="default" w:ascii="Times New Roman" w:hAnsi="Times New Roman" w:eastAsia="宋体" w:cs="Times New Roman"/>
          <w:b/>
          <w:sz w:val="24"/>
          <w:highlight w:val="none"/>
        </w:rPr>
        <w:t>2.</w:t>
      </w:r>
      <w:r>
        <w:rPr>
          <w:rFonts w:hint="eastAsia" w:cs="Times New Roman"/>
          <w:b/>
          <w:sz w:val="24"/>
          <w:highlight w:val="none"/>
          <w:lang w:val="en-US" w:eastAsia="zh-CN"/>
        </w:rPr>
        <w:t xml:space="preserve"> </w:t>
      </w:r>
      <w:r>
        <w:rPr>
          <w:rFonts w:hint="default" w:ascii="Times New Roman" w:hAnsi="Times New Roman" w:eastAsia="宋体" w:cs="Times New Roman"/>
          <w:b/>
          <w:sz w:val="24"/>
          <w:highlight w:val="none"/>
        </w:rPr>
        <w:t>合同价格：</w:t>
      </w:r>
      <w:r>
        <w:rPr>
          <w:rFonts w:hint="default" w:ascii="Times New Roman" w:hAnsi="Times New Roman" w:cs="Times New Roman"/>
          <w:sz w:val="24"/>
          <w:highlight w:val="none"/>
        </w:rPr>
        <w:t>人民币</w:t>
      </w:r>
      <w:r>
        <w:rPr>
          <w:rFonts w:hint="eastAsia" w:cs="Times New Roman"/>
          <w:sz w:val="24"/>
          <w:highlight w:val="none"/>
          <w:lang w:val="en-US" w:eastAsia="zh-CN"/>
        </w:rPr>
        <w:t>3,050</w:t>
      </w:r>
      <w:r>
        <w:rPr>
          <w:rFonts w:hint="default" w:ascii="Times New Roman" w:hAnsi="Times New Roman" w:cs="Times New Roman"/>
          <w:sz w:val="24"/>
          <w:highlight w:val="none"/>
        </w:rPr>
        <w:t>万元。</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eastAsia" w:ascii="Times New Roman" w:hAnsi="Times New Roman" w:cs="Times New Roman"/>
          <w:sz w:val="24"/>
          <w:highlight w:val="none"/>
          <w:lang w:val="en-US" w:eastAsia="zh-CN"/>
        </w:rPr>
      </w:pPr>
      <w:r>
        <w:rPr>
          <w:rFonts w:hint="default" w:ascii="Times New Roman" w:hAnsi="Times New Roman" w:eastAsia="宋体" w:cs="Times New Roman"/>
          <w:b/>
          <w:color w:val="auto"/>
          <w:sz w:val="24"/>
          <w:highlight w:val="none"/>
        </w:rPr>
        <w:t>3.</w:t>
      </w:r>
      <w:r>
        <w:rPr>
          <w:rFonts w:hint="eastAsia"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付款方式：</w:t>
      </w:r>
      <w:r>
        <w:rPr>
          <w:rFonts w:hint="eastAsia" w:ascii="Times New Roman" w:hAnsi="Times New Roman" w:cs="Times New Roman"/>
          <w:sz w:val="24"/>
          <w:highlight w:val="none"/>
          <w:lang w:val="en-US" w:eastAsia="zh-CN"/>
        </w:rPr>
        <w:t>合同总价为含税价，涵盖了乙方为履行本合同规定的义务和风险所需的全部费用，包括专用技术使用费、技术转让分摊费、设计、设备、建筑、安装、调试试验考核、运输(含大件运输措施费)、保险、技术资料、利润等和与本合同有关的所有税（含进口设备和材料关税、增值税等所有税费）和费用、政策性文件规定及合同所有的安全防护、文明施工措施费、不可预见费等。既使本合同没有单独列出其分项价，其费用亦己包含在合同总价中。</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80" w:firstLineChars="200"/>
        <w:contextualSpacing/>
        <w:textAlignment w:val="auto"/>
        <w:rPr>
          <w:rFonts w:hint="eastAsia" w:ascii="Times New Roman" w:hAnsi="Times New Roman" w:cs="Times New Roman"/>
          <w:sz w:val="24"/>
          <w:highlight w:val="none"/>
          <w:lang w:val="en-US" w:eastAsia="zh-CN"/>
        </w:rPr>
      </w:pPr>
      <w:r>
        <w:rPr>
          <w:rFonts w:hint="eastAsia" w:ascii="Times New Roman" w:hAnsi="Times New Roman" w:cs="Times New Roman"/>
          <w:sz w:val="24"/>
          <w:highlight w:val="none"/>
          <w:lang w:val="en-US" w:eastAsia="zh-CN"/>
        </w:rPr>
        <w:t>合同总价组成：勘察设计费(含税)：人民币叁拾捌万元整（￥380</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000）；设备、材料费（含税）：人民币贰仟陆佰捌拾壹万零捌佰陆拾叁元整（￥26</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810</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863）；建筑工程费（含税）：人民币壹佰叁拾捌万陆仟陆佰柒拾柒元整（￥1</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386</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677）；安装工程费（含税）：人民币壹佰壹拾壹万肆仟贰佰叁拾捌元整（￥1</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114</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238）；安全文明措施费（含税）：人民币陆万伍仟壹佰肆拾贰元整（￥65</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142）</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其他费用（含税）：人民币柒拾肆万叁仟零捌拾元整（￥743</w:t>
      </w:r>
      <w:r>
        <w:rPr>
          <w:rFonts w:hint="eastAsia" w:cs="Times New Roman"/>
          <w:sz w:val="24"/>
          <w:highlight w:val="none"/>
          <w:lang w:val="en-US" w:eastAsia="zh-CN"/>
        </w:rPr>
        <w:t>,</w:t>
      </w:r>
      <w:r>
        <w:rPr>
          <w:rFonts w:hint="eastAsia" w:ascii="Times New Roman" w:hAnsi="Times New Roman" w:cs="Times New Roman"/>
          <w:sz w:val="24"/>
          <w:highlight w:val="none"/>
          <w:lang w:val="en-US" w:eastAsia="zh-CN"/>
        </w:rPr>
        <w:t>080）。</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cs="Times New Roman"/>
          <w:bCs/>
          <w:color w:val="auto"/>
          <w:sz w:val="24"/>
          <w:highlight w:val="none"/>
        </w:rPr>
      </w:pPr>
      <w:r>
        <w:rPr>
          <w:rFonts w:hint="default" w:ascii="Times New Roman" w:hAnsi="Times New Roman" w:eastAsia="宋体" w:cs="Times New Roman"/>
          <w:b/>
          <w:color w:val="auto"/>
          <w:sz w:val="24"/>
          <w:highlight w:val="none"/>
        </w:rPr>
        <w:t>4.</w:t>
      </w:r>
      <w:r>
        <w:rPr>
          <w:rFonts w:hint="eastAsia" w:cs="Times New Roman"/>
          <w:b/>
          <w:color w:val="auto"/>
          <w:sz w:val="24"/>
          <w:highlight w:val="none"/>
          <w:lang w:val="en-US" w:eastAsia="zh-CN"/>
        </w:rPr>
        <w:t xml:space="preserve"> </w:t>
      </w:r>
      <w:r>
        <w:rPr>
          <w:rFonts w:hint="default" w:ascii="Times New Roman" w:hAnsi="Times New Roman" w:cs="Times New Roman"/>
          <w:b/>
          <w:color w:val="auto"/>
          <w:sz w:val="24"/>
          <w:highlight w:val="none"/>
          <w:lang w:eastAsia="zh-CN"/>
        </w:rPr>
        <w:t>项目工期</w:t>
      </w:r>
      <w:r>
        <w:rPr>
          <w:rFonts w:hint="default" w:ascii="Times New Roman" w:hAnsi="Times New Roman" w:eastAsia="宋体" w:cs="Times New Roman"/>
          <w:b/>
          <w:color w:val="auto"/>
          <w:sz w:val="24"/>
          <w:highlight w:val="none"/>
        </w:rPr>
        <w:t>：</w:t>
      </w:r>
      <w:bookmarkStart w:id="0" w:name="_Toc21558"/>
      <w:bookmarkStart w:id="1" w:name="_Toc29958"/>
      <w:r>
        <w:rPr>
          <w:rFonts w:hint="default" w:ascii="Times New Roman" w:hAnsi="Times New Roman" w:cs="Times New Roman"/>
          <w:bCs/>
          <w:color w:val="auto"/>
          <w:sz w:val="24"/>
          <w:highlight w:val="none"/>
        </w:rPr>
        <w:t>合同签订之日起，实际开始工作时间按照监理人开始工作通知中载明的开始工作时间为准。工期为5个</w:t>
      </w:r>
      <w:r>
        <w:rPr>
          <w:rFonts w:hint="eastAsia" w:cs="Times New Roman"/>
          <w:bCs/>
          <w:color w:val="auto"/>
          <w:sz w:val="24"/>
          <w:highlight w:val="none"/>
          <w:lang w:val="en-US" w:eastAsia="zh-CN"/>
        </w:rPr>
        <w:t>月</w:t>
      </w:r>
      <w:r>
        <w:rPr>
          <w:rFonts w:hint="default" w:ascii="Times New Roman" w:hAnsi="Times New Roman" w:cs="Times New Roman"/>
          <w:bCs/>
          <w:color w:val="auto"/>
          <w:sz w:val="24"/>
          <w:highlight w:val="none"/>
        </w:rPr>
        <w:t>。</w:t>
      </w:r>
      <w:bookmarkEnd w:id="0"/>
      <w:bookmarkEnd w:id="1"/>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bCs w:val="0"/>
          <w:color w:val="000000"/>
          <w:sz w:val="24"/>
          <w:szCs w:val="24"/>
          <w:highlight w:val="none"/>
          <w:lang w:val="en-US" w:eastAsia="zh-CN"/>
        </w:rPr>
        <w:t>5</w:t>
      </w:r>
      <w:r>
        <w:rPr>
          <w:rFonts w:hint="default" w:ascii="Times New Roman" w:hAnsi="Times New Roman" w:eastAsia="宋体" w:cs="Times New Roman"/>
          <w:b/>
          <w:sz w:val="24"/>
          <w:highlight w:val="none"/>
        </w:rPr>
        <w:t>.</w:t>
      </w:r>
      <w:r>
        <w:rPr>
          <w:rFonts w:hint="eastAsia" w:cs="Times New Roman"/>
          <w:b/>
          <w:sz w:val="24"/>
          <w:highlight w:val="none"/>
          <w:lang w:val="en-US" w:eastAsia="zh-CN"/>
        </w:rPr>
        <w:t xml:space="preserve"> </w:t>
      </w:r>
      <w:r>
        <w:rPr>
          <w:rFonts w:hint="default" w:ascii="Times New Roman" w:hAnsi="Times New Roman" w:eastAsia="宋体" w:cs="Times New Roman"/>
          <w:b/>
          <w:color w:val="auto"/>
          <w:sz w:val="24"/>
          <w:highlight w:val="none"/>
        </w:rPr>
        <w:t>主要违约责任：</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80" w:lineRule="exact"/>
        <w:ind w:left="0" w:leftChars="0" w:right="0" w:firstLine="480" w:firstLineChars="200"/>
        <w:jc w:val="both"/>
        <w:textAlignment w:val="auto"/>
        <w:outlineLvl w:val="9"/>
        <w:rPr>
          <w:rFonts w:hint="eastAsia" w:ascii="宋体" w:hAnsi="宋体" w:eastAsia="宋体" w:cs="宋体"/>
          <w:b w:val="0"/>
          <w:color w:val="auto"/>
          <w:spacing w:val="0"/>
          <w:sz w:val="24"/>
          <w:szCs w:val="24"/>
          <w:highlight w:val="none"/>
          <w:lang w:eastAsia="zh-CN"/>
        </w:rPr>
      </w:pPr>
      <w:r>
        <w:rPr>
          <w:rFonts w:hint="eastAsia" w:ascii="宋体" w:hAnsi="宋体" w:cs="宋体"/>
          <w:b w:val="0"/>
          <w:color w:val="auto"/>
          <w:spacing w:val="0"/>
          <w:sz w:val="24"/>
          <w:szCs w:val="24"/>
          <w:highlight w:val="none"/>
          <w:lang w:eastAsia="zh-CN"/>
        </w:rPr>
        <w:t>（</w:t>
      </w:r>
      <w:r>
        <w:rPr>
          <w:rFonts w:hint="eastAsia" w:ascii="宋体" w:hAnsi="宋体" w:cs="宋体"/>
          <w:b w:val="0"/>
          <w:color w:val="auto"/>
          <w:spacing w:val="0"/>
          <w:sz w:val="24"/>
          <w:szCs w:val="24"/>
          <w:highlight w:val="none"/>
          <w:lang w:val="en-US" w:eastAsia="zh-CN"/>
        </w:rPr>
        <w:t>1</w:t>
      </w:r>
      <w:r>
        <w:rPr>
          <w:rFonts w:hint="eastAsia" w:ascii="宋体" w:hAnsi="宋体" w:cs="宋体"/>
          <w:b w:val="0"/>
          <w:color w:val="auto"/>
          <w:spacing w:val="0"/>
          <w:sz w:val="24"/>
          <w:szCs w:val="24"/>
          <w:highlight w:val="none"/>
          <w:lang w:eastAsia="zh-CN"/>
        </w:rPr>
        <w:t>）</w:t>
      </w:r>
      <w:r>
        <w:rPr>
          <w:rFonts w:hint="eastAsia" w:ascii="宋体" w:hAnsi="宋体" w:eastAsia="宋体" w:cs="宋体"/>
          <w:b w:val="0"/>
          <w:color w:val="auto"/>
          <w:spacing w:val="0"/>
          <w:sz w:val="24"/>
          <w:szCs w:val="24"/>
          <w:highlight w:val="none"/>
          <w:lang w:eastAsia="zh-CN"/>
        </w:rPr>
        <w:t>由于乙方责任，在合同规定的第二次的性能验收试验后，仍不能达到本合同技术协议所规定的一项或多项保证指标时，甲方有权按乙方违约的性质和程度，选择下列方式，乙方应承担违约责任如下：</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80" w:lineRule="exact"/>
        <w:ind w:left="0" w:leftChars="0" w:right="0" w:firstLine="480" w:firstLineChars="200"/>
        <w:jc w:val="both"/>
        <w:textAlignment w:val="auto"/>
        <w:outlineLvl w:val="9"/>
        <w:rPr>
          <w:rFonts w:hint="eastAsia" w:ascii="宋体" w:hAnsi="宋体" w:eastAsia="宋体" w:cs="宋体"/>
          <w:b w:val="0"/>
          <w:color w:val="auto"/>
          <w:spacing w:val="0"/>
          <w:sz w:val="24"/>
          <w:szCs w:val="24"/>
          <w:highlight w:val="none"/>
          <w:lang w:eastAsia="zh-CN"/>
        </w:rPr>
      </w:pPr>
      <w:r>
        <w:rPr>
          <w:rFonts w:hint="eastAsia" w:ascii="宋体" w:hAnsi="宋体" w:eastAsia="宋体" w:cs="宋体"/>
          <w:b w:val="0"/>
          <w:color w:val="auto"/>
          <w:spacing w:val="0"/>
          <w:sz w:val="24"/>
          <w:szCs w:val="24"/>
          <w:highlight w:val="none"/>
          <w:lang w:eastAsia="zh-CN"/>
        </w:rPr>
        <w:t>凡性能达不到招标文件规定的性能保证值，甲方有权退货。甲方将退还合同设备和收回合同规定被拒设备相同货币的金额, 并且乙方应承担甲方的损失和所发生的费用，包括但不限于利息、银行费、运费、保险金、检验费、贮存、建设费、拆卸费和其它用于被拒设备保管和保护的费用。</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80" w:lineRule="exact"/>
        <w:ind w:left="0" w:leftChars="0" w:right="0" w:firstLine="480" w:firstLineChars="200"/>
        <w:jc w:val="both"/>
        <w:textAlignment w:val="auto"/>
        <w:outlineLvl w:val="9"/>
        <w:rPr>
          <w:rFonts w:hint="default" w:ascii="宋体" w:hAnsi="宋体" w:eastAsia="宋体" w:cs="宋体"/>
          <w:b w:val="0"/>
          <w:color w:val="auto"/>
          <w:spacing w:val="0"/>
          <w:sz w:val="24"/>
          <w:szCs w:val="24"/>
          <w:highlight w:val="none"/>
          <w:lang w:val="en-US" w:eastAsia="zh-CN"/>
        </w:rPr>
      </w:pPr>
      <w:r>
        <w:rPr>
          <w:rFonts w:hint="default" w:ascii="宋体" w:hAnsi="宋体" w:eastAsia="宋体" w:cs="宋体"/>
          <w:b w:val="0"/>
          <w:color w:val="auto"/>
          <w:spacing w:val="0"/>
          <w:sz w:val="24"/>
          <w:szCs w:val="24"/>
          <w:highlight w:val="none"/>
          <w:lang w:val="en-US" w:eastAsia="zh-CN"/>
        </w:rPr>
        <w:t>（2）其他违约情形责任</w:t>
      </w:r>
      <w:r>
        <w:rPr>
          <w:rFonts w:hint="eastAsia" w:ascii="宋体" w:hAnsi="宋体" w:cs="宋体"/>
          <w:b w:val="0"/>
          <w:color w:val="auto"/>
          <w:spacing w:val="0"/>
          <w:sz w:val="24"/>
          <w:szCs w:val="24"/>
          <w:highlight w:val="none"/>
          <w:lang w:val="en-US" w:eastAsia="zh-CN"/>
        </w:rPr>
        <w:t>。乙方如出现提供设备部件不合格、提供技术资料有误、提供技术服务有缺陷、违约总金额超过合同总价的15%等情形，乙方应按合同约定承担违约责任。</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80" w:lineRule="exact"/>
        <w:ind w:left="0" w:leftChars="0" w:right="0" w:firstLine="482" w:firstLineChars="200"/>
        <w:jc w:val="both"/>
        <w:textAlignment w:val="auto"/>
        <w:outlineLvl w:val="9"/>
        <w:rPr>
          <w:rFonts w:hint="eastAsia" w:ascii="Times New Roman" w:hAnsi="Times New Roman" w:eastAsia="宋体"/>
          <w:b w:val="0"/>
          <w:color w:val="auto"/>
          <w:spacing w:val="0"/>
          <w:sz w:val="21"/>
          <w:highlight w:val="none"/>
        </w:rPr>
      </w:pPr>
      <w:r>
        <w:rPr>
          <w:rFonts w:hint="default" w:ascii="Times New Roman" w:hAnsi="Times New Roman" w:eastAsia="宋体" w:cs="Times New Roman"/>
          <w:b/>
          <w:color w:val="auto"/>
          <w:spacing w:val="0"/>
          <w:sz w:val="24"/>
          <w:highlight w:val="none"/>
          <w:lang w:val="en-US" w:eastAsia="zh-CN"/>
        </w:rPr>
        <w:t>6</w:t>
      </w:r>
      <w:r>
        <w:rPr>
          <w:rFonts w:hint="default" w:ascii="Times New Roman" w:hAnsi="Times New Roman" w:eastAsia="宋体" w:cs="Times New Roman"/>
          <w:b/>
          <w:spacing w:val="0"/>
          <w:sz w:val="24"/>
          <w:highlight w:val="none"/>
        </w:rPr>
        <w:t>.</w:t>
      </w:r>
      <w:r>
        <w:rPr>
          <w:rFonts w:hint="eastAsia" w:cs="Times New Roman"/>
          <w:b/>
          <w:spacing w:val="0"/>
          <w:sz w:val="24"/>
          <w:highlight w:val="none"/>
          <w:lang w:val="en-US" w:eastAsia="zh-CN"/>
        </w:rPr>
        <w:t xml:space="preserve"> </w:t>
      </w:r>
      <w:r>
        <w:rPr>
          <w:rFonts w:hint="default" w:ascii="Times New Roman" w:hAnsi="Times New Roman" w:eastAsia="宋体" w:cs="Times New Roman"/>
          <w:b/>
          <w:spacing w:val="0"/>
          <w:sz w:val="24"/>
          <w:highlight w:val="none"/>
        </w:rPr>
        <w:t>争议解决</w:t>
      </w:r>
      <w:r>
        <w:rPr>
          <w:rFonts w:hint="default" w:ascii="Times New Roman" w:hAnsi="Times New Roman" w:eastAsia="宋体" w:cs="Times New Roman"/>
          <w:b/>
          <w:spacing w:val="0"/>
          <w:sz w:val="24"/>
          <w:szCs w:val="24"/>
          <w:highlight w:val="none"/>
        </w:rPr>
        <w:t>：</w:t>
      </w:r>
      <w:r>
        <w:rPr>
          <w:rFonts w:hint="eastAsia" w:ascii="Times New Roman" w:hAnsi="Times New Roman" w:eastAsia="宋体"/>
          <w:b w:val="0"/>
          <w:color w:val="auto"/>
          <w:spacing w:val="0"/>
          <w:sz w:val="24"/>
          <w:szCs w:val="24"/>
          <w:highlight w:val="none"/>
        </w:rPr>
        <w:t>甲方和乙方在履行合同中发生争议的，可以友好协商解决或者提请争议评审组评审。合同当事人友好协商解决不成、不愿提请争议评审或者不接受争议评审组意见的，</w:t>
      </w:r>
      <w:r>
        <w:rPr>
          <w:rFonts w:hint="eastAsia"/>
          <w:b w:val="0"/>
          <w:color w:val="auto"/>
          <w:spacing w:val="0"/>
          <w:sz w:val="24"/>
          <w:szCs w:val="24"/>
          <w:highlight w:val="none"/>
          <w:lang w:val="en-US" w:eastAsia="zh-CN"/>
        </w:rPr>
        <w:t>可</w:t>
      </w:r>
      <w:bookmarkStart w:id="2" w:name="_GoBack"/>
      <w:bookmarkEnd w:id="2"/>
      <w:r>
        <w:rPr>
          <w:rFonts w:hint="eastAsia" w:ascii="Times New Roman" w:hAnsi="Times New Roman" w:eastAsia="宋体"/>
          <w:b w:val="0"/>
          <w:color w:val="auto"/>
          <w:spacing w:val="0"/>
          <w:sz w:val="24"/>
          <w:szCs w:val="24"/>
          <w:highlight w:val="none"/>
        </w:rPr>
        <w:t>向工程所在地有管辖权的人民法院提起诉讼。</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eastAsia" w:ascii="Times New Roman" w:hAnsi="Times New Roman" w:eastAsia="宋体" w:cs="Times New Roman"/>
          <w:b w:val="0"/>
          <w:bCs/>
          <w:color w:val="auto"/>
          <w:spacing w:val="0"/>
          <w:sz w:val="24"/>
          <w:highlight w:val="none"/>
          <w:lang w:val="en-US" w:eastAsia="zh-CN"/>
        </w:rPr>
      </w:pPr>
      <w:r>
        <w:rPr>
          <w:rFonts w:hint="default" w:ascii="Times New Roman" w:hAnsi="Times New Roman" w:eastAsia="宋体" w:cs="Times New Roman"/>
          <w:b/>
          <w:color w:val="000000"/>
          <w:spacing w:val="0"/>
          <w:sz w:val="24"/>
          <w:highlight w:val="none"/>
          <w:lang w:val="en-US" w:eastAsia="zh-CN"/>
        </w:rPr>
        <w:t>7</w:t>
      </w:r>
      <w:r>
        <w:rPr>
          <w:rFonts w:hint="default" w:ascii="Times New Roman" w:hAnsi="Times New Roman" w:eastAsia="宋体" w:cs="Times New Roman"/>
          <w:b/>
          <w:spacing w:val="0"/>
          <w:sz w:val="24"/>
          <w:highlight w:val="none"/>
        </w:rPr>
        <w:t>.</w:t>
      </w:r>
      <w:r>
        <w:rPr>
          <w:rFonts w:hint="eastAsia" w:cs="Times New Roman"/>
          <w:b/>
          <w:spacing w:val="0"/>
          <w:sz w:val="24"/>
          <w:highlight w:val="none"/>
          <w:lang w:val="en-US" w:eastAsia="zh-CN"/>
        </w:rPr>
        <w:t xml:space="preserve"> </w:t>
      </w:r>
      <w:r>
        <w:rPr>
          <w:rFonts w:hint="default" w:ascii="Times New Roman" w:hAnsi="Times New Roman" w:eastAsia="宋体" w:cs="Times New Roman"/>
          <w:b/>
          <w:color w:val="auto"/>
          <w:spacing w:val="0"/>
          <w:sz w:val="24"/>
          <w:highlight w:val="none"/>
        </w:rPr>
        <w:t>生效条款：</w:t>
      </w:r>
      <w:r>
        <w:rPr>
          <w:rFonts w:hint="default" w:ascii="Times New Roman" w:hAnsi="Times New Roman" w:cs="Times New Roman"/>
          <w:bCs/>
          <w:spacing w:val="0"/>
          <w:sz w:val="24"/>
          <w:highlight w:val="none"/>
        </w:rPr>
        <w:t>本协议自双方法定代表人或授权委托代表人签字并加盖公章或合同专用章合同生效</w:t>
      </w:r>
      <w:r>
        <w:rPr>
          <w:rFonts w:hint="eastAsia" w:cs="Times New Roman"/>
          <w:bCs/>
          <w:spacing w:val="0"/>
          <w:sz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除上述条款外</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该合同无其他重要条款。</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三、其他</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公司将就上述</w:t>
      </w:r>
      <w:r>
        <w:rPr>
          <w:rFonts w:hint="default" w:ascii="Times New Roman" w:hAnsi="Times New Roman" w:eastAsia="宋体" w:cs="Times New Roman"/>
          <w:sz w:val="24"/>
          <w:highlight w:val="none"/>
          <w:lang w:eastAsia="zh-CN"/>
        </w:rPr>
        <w:t>关联交易</w:t>
      </w:r>
      <w:r>
        <w:rPr>
          <w:rFonts w:hint="default" w:ascii="Times New Roman" w:hAnsi="Times New Roman" w:eastAsia="宋体" w:cs="Times New Roman"/>
          <w:sz w:val="24"/>
          <w:highlight w:val="none"/>
        </w:rPr>
        <w:t>进展情况履行持续信息披露义务。</w:t>
      </w:r>
    </w:p>
    <w:p>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四、备查文件</w:t>
      </w:r>
    </w:p>
    <w:p>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Times New Roman" w:hAnsi="Times New Roman" w:eastAsia="宋体" w:cs="Times New Roman"/>
          <w:sz w:val="24"/>
          <w:highlight w:val="none"/>
        </w:rPr>
      </w:pPr>
      <w:r>
        <w:rPr>
          <w:rFonts w:hint="default" w:ascii="Times New Roman" w:hAnsi="Times New Roman" w:cs="Times New Roman"/>
          <w:sz w:val="24"/>
          <w:highlight w:val="none"/>
        </w:rPr>
        <w:t>《</w:t>
      </w:r>
      <w:r>
        <w:rPr>
          <w:rFonts w:hint="default" w:ascii="Times New Roman" w:hAnsi="Times New Roman" w:cs="Times New Roman"/>
          <w:color w:val="auto"/>
          <w:sz w:val="24"/>
          <w:highlight w:val="none"/>
        </w:rPr>
        <w:t>国</w:t>
      </w:r>
      <w:r>
        <w:rPr>
          <w:rFonts w:hint="default" w:ascii="Times New Roman" w:hAnsi="Times New Roman" w:eastAsia="宋体" w:cs="Times New Roman"/>
          <w:sz w:val="24"/>
          <w:highlight w:val="none"/>
        </w:rPr>
        <w:t>能长源随州发电</w:t>
      </w:r>
      <w:r>
        <w:rPr>
          <w:rFonts w:hint="default" w:ascii="Times New Roman" w:hAnsi="Times New Roman" w:cs="Times New Roman"/>
          <w:color w:val="auto"/>
          <w:sz w:val="24"/>
          <w:highlight w:val="none"/>
        </w:rPr>
        <w:t>有限公司2×660MW机组灵活性（火储联合调频）技术改造EPC项目合同</w:t>
      </w:r>
      <w:r>
        <w:rPr>
          <w:rFonts w:hint="default" w:ascii="Times New Roman" w:hAnsi="Times New Roman" w:cs="Times New Roman"/>
          <w:sz w:val="24"/>
          <w:highlight w:val="none"/>
        </w:rPr>
        <w:t>》。</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eastAsia="宋体" w:cs="Times New Roman"/>
          <w:color w:val="auto"/>
          <w:sz w:val="24"/>
          <w:highlight w:val="none"/>
        </w:rPr>
      </w:pP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特此公告</w:t>
      </w:r>
      <w:r>
        <w:rPr>
          <w:rFonts w:hint="default" w:ascii="Times New Roman" w:hAnsi="Times New Roman" w:eastAsia="宋体" w:cs="Times New Roman"/>
          <w:color w:val="auto"/>
          <w:sz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contextualSpacing/>
        <w:jc w:val="right"/>
        <w:textAlignment w:val="auto"/>
        <w:rPr>
          <w:rFonts w:hint="default" w:ascii="Times New Roman" w:hAnsi="Times New Roman" w:cs="Times New Roman"/>
          <w:color w:val="auto"/>
          <w:sz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contextualSpacing/>
        <w:jc w:val="right"/>
        <w:textAlignment w:val="auto"/>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val="en-US" w:eastAsia="zh-CN"/>
        </w:rPr>
        <w:t>国家能源集团</w:t>
      </w:r>
      <w:r>
        <w:rPr>
          <w:rFonts w:hint="default" w:ascii="Times New Roman" w:hAnsi="Times New Roman" w:eastAsia="宋体" w:cs="Times New Roman"/>
          <w:color w:val="auto"/>
          <w:sz w:val="24"/>
          <w:highlight w:val="none"/>
        </w:rPr>
        <w:t>长源电力股份有限公司董事会</w:t>
      </w:r>
    </w:p>
    <w:p>
      <w:pPr>
        <w:keepNext w:val="0"/>
        <w:keepLines w:val="0"/>
        <w:pageBreakBefore w:val="0"/>
        <w:widowControl w:val="0"/>
        <w:kinsoku/>
        <w:wordWrap w:val="0"/>
        <w:overflowPunct/>
        <w:topLinePunct w:val="0"/>
        <w:autoSpaceDE/>
        <w:autoSpaceDN/>
        <w:bidi w:val="0"/>
        <w:adjustRightInd/>
        <w:snapToGrid/>
        <w:spacing w:line="380" w:lineRule="exact"/>
        <w:ind w:right="720" w:firstLine="480" w:firstLineChars="200"/>
        <w:contextualSpacing/>
        <w:jc w:val="center"/>
        <w:textAlignment w:val="auto"/>
        <w:rPr>
          <w:rStyle w:val="13"/>
          <w:rFonts w:hint="default" w:ascii="Times New Roman" w:hAnsi="Times New Roman" w:eastAsia="宋体" w:cs="Times New Roman"/>
          <w:b w:val="0"/>
          <w:i w:val="0"/>
          <w:caps w:val="0"/>
          <w:color w:val="auto"/>
          <w:spacing w:val="0"/>
          <w:w w:val="100"/>
          <w:kern w:val="2"/>
          <w:sz w:val="24"/>
          <w:szCs w:val="24"/>
          <w:highlight w:val="none"/>
          <w:lang w:val="en-US" w:eastAsia="zh-CN" w:bidi="ar-SA"/>
        </w:rPr>
      </w:pPr>
      <w:r>
        <w:rPr>
          <w:rFonts w:hint="default" w:ascii="Times New Roman" w:hAnsi="Times New Roman"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20</w:t>
      </w:r>
      <w:r>
        <w:rPr>
          <w:rFonts w:hint="default"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val="en-US" w:eastAsia="zh-CN"/>
        </w:rPr>
        <w:t>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10</w:t>
      </w:r>
      <w:r>
        <w:rPr>
          <w:rStyle w:val="13"/>
          <w:rFonts w:ascii="Times New Roman" w:hAnsi="Times New Roman" w:eastAsia="宋体" w:cs="Times New Roman"/>
          <w:b w:val="0"/>
          <w:i w:val="0"/>
          <w:caps w:val="0"/>
          <w:color w:val="auto"/>
          <w:spacing w:val="0"/>
          <w:w w:val="100"/>
          <w:kern w:val="2"/>
          <w:sz w:val="24"/>
          <w:szCs w:val="24"/>
          <w:highlight w:val="none"/>
          <w:lang w:val="en-US" w:eastAsia="zh-CN" w:bidi="ar-SA"/>
        </w:rPr>
        <w:t>月</w:t>
      </w:r>
      <w:r>
        <w:rPr>
          <w:rStyle w:val="13"/>
          <w:rFonts w:hint="eastAsia" w:cs="Times New Roman"/>
          <w:b w:val="0"/>
          <w:i w:val="0"/>
          <w:caps w:val="0"/>
          <w:color w:val="auto"/>
          <w:spacing w:val="0"/>
          <w:w w:val="100"/>
          <w:kern w:val="2"/>
          <w:sz w:val="24"/>
          <w:szCs w:val="24"/>
          <w:highlight w:val="none"/>
          <w:lang w:val="en-US" w:eastAsia="zh-CN" w:bidi="ar-SA"/>
        </w:rPr>
        <w:t>14</w:t>
      </w:r>
      <w:r>
        <w:rPr>
          <w:rStyle w:val="13"/>
          <w:rFonts w:ascii="Times New Roman" w:hAnsi="Times New Roman" w:eastAsia="宋体" w:cs="Times New Roman"/>
          <w:b w:val="0"/>
          <w:i w:val="0"/>
          <w:caps w:val="0"/>
          <w:color w:val="auto"/>
          <w:spacing w:val="0"/>
          <w:w w:val="100"/>
          <w:kern w:val="2"/>
          <w:sz w:val="24"/>
          <w:szCs w:val="24"/>
          <w:highlight w:val="none"/>
          <w:lang w:val="en-US" w:eastAsia="zh-CN" w:bidi="ar-SA"/>
        </w:rPr>
        <w:t>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1" w:fontKey="{08B30007-6B4E-49B9-9881-3A4D77F24ED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38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EF6"/>
    <w:rsid w:val="000F30F8"/>
    <w:rsid w:val="001C15AA"/>
    <w:rsid w:val="002E6CA0"/>
    <w:rsid w:val="00373A1F"/>
    <w:rsid w:val="003778AF"/>
    <w:rsid w:val="003B228D"/>
    <w:rsid w:val="00407C6C"/>
    <w:rsid w:val="00420734"/>
    <w:rsid w:val="004545AE"/>
    <w:rsid w:val="00470A7F"/>
    <w:rsid w:val="004E0002"/>
    <w:rsid w:val="00595E78"/>
    <w:rsid w:val="005A6B7D"/>
    <w:rsid w:val="006D7D45"/>
    <w:rsid w:val="0079402C"/>
    <w:rsid w:val="007F305A"/>
    <w:rsid w:val="00817009"/>
    <w:rsid w:val="00921479"/>
    <w:rsid w:val="00A52865"/>
    <w:rsid w:val="00A924DF"/>
    <w:rsid w:val="00B84E75"/>
    <w:rsid w:val="00BF3796"/>
    <w:rsid w:val="00CE065F"/>
    <w:rsid w:val="00D63EF6"/>
    <w:rsid w:val="00D7425F"/>
    <w:rsid w:val="00D9102A"/>
    <w:rsid w:val="00DB4F04"/>
    <w:rsid w:val="00F32491"/>
    <w:rsid w:val="00F83ED7"/>
    <w:rsid w:val="01847163"/>
    <w:rsid w:val="023725B8"/>
    <w:rsid w:val="02571FE0"/>
    <w:rsid w:val="02850B5D"/>
    <w:rsid w:val="03370CBA"/>
    <w:rsid w:val="034B303A"/>
    <w:rsid w:val="04B00789"/>
    <w:rsid w:val="04B44541"/>
    <w:rsid w:val="04FA383D"/>
    <w:rsid w:val="05D809E9"/>
    <w:rsid w:val="066E3B10"/>
    <w:rsid w:val="067F60FA"/>
    <w:rsid w:val="06F77232"/>
    <w:rsid w:val="077E2E7E"/>
    <w:rsid w:val="07B354B0"/>
    <w:rsid w:val="07C70113"/>
    <w:rsid w:val="086F7974"/>
    <w:rsid w:val="08A406AF"/>
    <w:rsid w:val="09323FCD"/>
    <w:rsid w:val="09AE1421"/>
    <w:rsid w:val="0A2D568A"/>
    <w:rsid w:val="0AAC5185"/>
    <w:rsid w:val="0AF01E65"/>
    <w:rsid w:val="0B1875DD"/>
    <w:rsid w:val="0B994DFD"/>
    <w:rsid w:val="0C184B7D"/>
    <w:rsid w:val="0C1B3EAE"/>
    <w:rsid w:val="0D084DED"/>
    <w:rsid w:val="0D2E27CF"/>
    <w:rsid w:val="0D46297E"/>
    <w:rsid w:val="0D5C0FB9"/>
    <w:rsid w:val="0DBB2F7A"/>
    <w:rsid w:val="0DD53DE6"/>
    <w:rsid w:val="0E684593"/>
    <w:rsid w:val="0E911F74"/>
    <w:rsid w:val="0E962AA0"/>
    <w:rsid w:val="0FEA2997"/>
    <w:rsid w:val="0FFB705A"/>
    <w:rsid w:val="10366B8A"/>
    <w:rsid w:val="10920CD9"/>
    <w:rsid w:val="10983875"/>
    <w:rsid w:val="11027747"/>
    <w:rsid w:val="11853BCD"/>
    <w:rsid w:val="11A73575"/>
    <w:rsid w:val="11B45EC1"/>
    <w:rsid w:val="11C833BC"/>
    <w:rsid w:val="123965B1"/>
    <w:rsid w:val="13714B85"/>
    <w:rsid w:val="13E739D1"/>
    <w:rsid w:val="14167D16"/>
    <w:rsid w:val="145E2EF2"/>
    <w:rsid w:val="148B4534"/>
    <w:rsid w:val="14F57730"/>
    <w:rsid w:val="15341261"/>
    <w:rsid w:val="161F06E9"/>
    <w:rsid w:val="164D238A"/>
    <w:rsid w:val="16530B45"/>
    <w:rsid w:val="16533EB7"/>
    <w:rsid w:val="165828EF"/>
    <w:rsid w:val="17684130"/>
    <w:rsid w:val="19A53246"/>
    <w:rsid w:val="19BB1243"/>
    <w:rsid w:val="1A8758C6"/>
    <w:rsid w:val="1BBE6A14"/>
    <w:rsid w:val="1C180BA1"/>
    <w:rsid w:val="1C413D52"/>
    <w:rsid w:val="1C6C10A3"/>
    <w:rsid w:val="1CCF3871"/>
    <w:rsid w:val="1D3075F1"/>
    <w:rsid w:val="1D343268"/>
    <w:rsid w:val="1D8031C5"/>
    <w:rsid w:val="1D8A04E4"/>
    <w:rsid w:val="1DC046F7"/>
    <w:rsid w:val="1DCF4CBB"/>
    <w:rsid w:val="1F17118D"/>
    <w:rsid w:val="1F370C66"/>
    <w:rsid w:val="1FAA02F5"/>
    <w:rsid w:val="202B2ACC"/>
    <w:rsid w:val="2127452F"/>
    <w:rsid w:val="213C3477"/>
    <w:rsid w:val="21693339"/>
    <w:rsid w:val="21DC53F3"/>
    <w:rsid w:val="225D5261"/>
    <w:rsid w:val="23282516"/>
    <w:rsid w:val="23742AA0"/>
    <w:rsid w:val="23745A4C"/>
    <w:rsid w:val="23C4535E"/>
    <w:rsid w:val="23D61C16"/>
    <w:rsid w:val="24224C9F"/>
    <w:rsid w:val="24B35E5B"/>
    <w:rsid w:val="24D815FF"/>
    <w:rsid w:val="257B7CF7"/>
    <w:rsid w:val="25BE7593"/>
    <w:rsid w:val="25D43215"/>
    <w:rsid w:val="25EE7CCC"/>
    <w:rsid w:val="27AA30CA"/>
    <w:rsid w:val="27AB58AB"/>
    <w:rsid w:val="286B4324"/>
    <w:rsid w:val="288D0D17"/>
    <w:rsid w:val="28956273"/>
    <w:rsid w:val="28B31693"/>
    <w:rsid w:val="29101019"/>
    <w:rsid w:val="297B3918"/>
    <w:rsid w:val="2B822930"/>
    <w:rsid w:val="2C592D4D"/>
    <w:rsid w:val="2C947B3E"/>
    <w:rsid w:val="2D5E008A"/>
    <w:rsid w:val="2D7A7C75"/>
    <w:rsid w:val="2D8E4BA3"/>
    <w:rsid w:val="2DDF5ABD"/>
    <w:rsid w:val="2E0400E8"/>
    <w:rsid w:val="2E1D720D"/>
    <w:rsid w:val="2E995860"/>
    <w:rsid w:val="2F247A39"/>
    <w:rsid w:val="2F6C194D"/>
    <w:rsid w:val="2F8A3921"/>
    <w:rsid w:val="2FC95555"/>
    <w:rsid w:val="310A0D01"/>
    <w:rsid w:val="31FB26BA"/>
    <w:rsid w:val="327A777C"/>
    <w:rsid w:val="344B3C1C"/>
    <w:rsid w:val="346632F7"/>
    <w:rsid w:val="35365E24"/>
    <w:rsid w:val="35D77C6B"/>
    <w:rsid w:val="35DF77AE"/>
    <w:rsid w:val="362071A0"/>
    <w:rsid w:val="366A1588"/>
    <w:rsid w:val="37EB70FE"/>
    <w:rsid w:val="37EF36CD"/>
    <w:rsid w:val="380F3FA1"/>
    <w:rsid w:val="39340E42"/>
    <w:rsid w:val="399519D3"/>
    <w:rsid w:val="39AF3A8F"/>
    <w:rsid w:val="39D068B4"/>
    <w:rsid w:val="39E36AFA"/>
    <w:rsid w:val="3A873ADF"/>
    <w:rsid w:val="3A967DE1"/>
    <w:rsid w:val="3B0527E0"/>
    <w:rsid w:val="3B183CB9"/>
    <w:rsid w:val="3C0B2291"/>
    <w:rsid w:val="3C707F3D"/>
    <w:rsid w:val="3CB95051"/>
    <w:rsid w:val="3CF30804"/>
    <w:rsid w:val="3CF82890"/>
    <w:rsid w:val="3D2B45D1"/>
    <w:rsid w:val="3EE828F3"/>
    <w:rsid w:val="3FD42855"/>
    <w:rsid w:val="400740FE"/>
    <w:rsid w:val="40334637"/>
    <w:rsid w:val="406F75DF"/>
    <w:rsid w:val="416D4F0B"/>
    <w:rsid w:val="422E07F9"/>
    <w:rsid w:val="423A2B70"/>
    <w:rsid w:val="42CB1B73"/>
    <w:rsid w:val="42E45EE2"/>
    <w:rsid w:val="43947E47"/>
    <w:rsid w:val="43B21A83"/>
    <w:rsid w:val="449A40BC"/>
    <w:rsid w:val="44B04514"/>
    <w:rsid w:val="44E56EC9"/>
    <w:rsid w:val="45EB2751"/>
    <w:rsid w:val="46901D85"/>
    <w:rsid w:val="46F465FE"/>
    <w:rsid w:val="47B4037C"/>
    <w:rsid w:val="47D64D04"/>
    <w:rsid w:val="47E83287"/>
    <w:rsid w:val="49A3333F"/>
    <w:rsid w:val="49F93B82"/>
    <w:rsid w:val="4AFE38D4"/>
    <w:rsid w:val="4AFF6AC5"/>
    <w:rsid w:val="4B63277C"/>
    <w:rsid w:val="4B6D132B"/>
    <w:rsid w:val="4B883C38"/>
    <w:rsid w:val="4D617968"/>
    <w:rsid w:val="4E734A20"/>
    <w:rsid w:val="4E781E41"/>
    <w:rsid w:val="4E7A400C"/>
    <w:rsid w:val="50354FC7"/>
    <w:rsid w:val="503808F0"/>
    <w:rsid w:val="50A90064"/>
    <w:rsid w:val="50AF3F44"/>
    <w:rsid w:val="51CC11CB"/>
    <w:rsid w:val="52871084"/>
    <w:rsid w:val="52887203"/>
    <w:rsid w:val="52B20439"/>
    <w:rsid w:val="53351E25"/>
    <w:rsid w:val="53374EAC"/>
    <w:rsid w:val="53886B7E"/>
    <w:rsid w:val="54577045"/>
    <w:rsid w:val="547D1EDE"/>
    <w:rsid w:val="54E824D0"/>
    <w:rsid w:val="55DD6E1B"/>
    <w:rsid w:val="56980571"/>
    <w:rsid w:val="56D25DAC"/>
    <w:rsid w:val="56D8375B"/>
    <w:rsid w:val="5A3E4F49"/>
    <w:rsid w:val="5A6C7B18"/>
    <w:rsid w:val="5B2D04B9"/>
    <w:rsid w:val="5B2E129B"/>
    <w:rsid w:val="5BB0423A"/>
    <w:rsid w:val="5BE069CE"/>
    <w:rsid w:val="5CEB61BF"/>
    <w:rsid w:val="5D0D6861"/>
    <w:rsid w:val="5D1E20BB"/>
    <w:rsid w:val="5DCF19FD"/>
    <w:rsid w:val="5DEF6F26"/>
    <w:rsid w:val="5E747105"/>
    <w:rsid w:val="5E9B7D58"/>
    <w:rsid w:val="5EFE2651"/>
    <w:rsid w:val="5F222307"/>
    <w:rsid w:val="5F375D82"/>
    <w:rsid w:val="601B5066"/>
    <w:rsid w:val="608756F8"/>
    <w:rsid w:val="61335A84"/>
    <w:rsid w:val="622C0948"/>
    <w:rsid w:val="63597847"/>
    <w:rsid w:val="635C63C5"/>
    <w:rsid w:val="64034F0E"/>
    <w:rsid w:val="640D59C3"/>
    <w:rsid w:val="64511A4F"/>
    <w:rsid w:val="647F0F1F"/>
    <w:rsid w:val="64AE3748"/>
    <w:rsid w:val="654149B7"/>
    <w:rsid w:val="658F6974"/>
    <w:rsid w:val="661316B7"/>
    <w:rsid w:val="66570B60"/>
    <w:rsid w:val="66723067"/>
    <w:rsid w:val="66B76500"/>
    <w:rsid w:val="67084156"/>
    <w:rsid w:val="67863AFB"/>
    <w:rsid w:val="67B10DA7"/>
    <w:rsid w:val="682021D1"/>
    <w:rsid w:val="6827339B"/>
    <w:rsid w:val="684A5AA5"/>
    <w:rsid w:val="68712663"/>
    <w:rsid w:val="69456626"/>
    <w:rsid w:val="695916D2"/>
    <w:rsid w:val="69A90C16"/>
    <w:rsid w:val="69BD53DE"/>
    <w:rsid w:val="69E41518"/>
    <w:rsid w:val="6B1233E8"/>
    <w:rsid w:val="6B443A39"/>
    <w:rsid w:val="6C315422"/>
    <w:rsid w:val="6C8D36DD"/>
    <w:rsid w:val="6D0E24E5"/>
    <w:rsid w:val="6D6830E2"/>
    <w:rsid w:val="6E291EA5"/>
    <w:rsid w:val="6E5D4F68"/>
    <w:rsid w:val="6F2B11B3"/>
    <w:rsid w:val="6F481EAB"/>
    <w:rsid w:val="6F990408"/>
    <w:rsid w:val="703A413A"/>
    <w:rsid w:val="70FF1D7E"/>
    <w:rsid w:val="71AB3BDF"/>
    <w:rsid w:val="726C3CF6"/>
    <w:rsid w:val="729754B4"/>
    <w:rsid w:val="72D50035"/>
    <w:rsid w:val="73312101"/>
    <w:rsid w:val="7373248E"/>
    <w:rsid w:val="74AA1ED0"/>
    <w:rsid w:val="75A960E2"/>
    <w:rsid w:val="75F341BD"/>
    <w:rsid w:val="764D7193"/>
    <w:rsid w:val="769F17F7"/>
    <w:rsid w:val="76D10CEA"/>
    <w:rsid w:val="76F7354D"/>
    <w:rsid w:val="77467DFE"/>
    <w:rsid w:val="778E175E"/>
    <w:rsid w:val="782B44A5"/>
    <w:rsid w:val="78C45047"/>
    <w:rsid w:val="79223EC5"/>
    <w:rsid w:val="79436DF6"/>
    <w:rsid w:val="795058E9"/>
    <w:rsid w:val="79941E11"/>
    <w:rsid w:val="7A0B6D21"/>
    <w:rsid w:val="7A4310DB"/>
    <w:rsid w:val="7B8950C9"/>
    <w:rsid w:val="7C187F7E"/>
    <w:rsid w:val="7D0623B4"/>
    <w:rsid w:val="7D3D1BAC"/>
    <w:rsid w:val="7D5B052F"/>
    <w:rsid w:val="7DB32EB4"/>
    <w:rsid w:val="7E5D5112"/>
    <w:rsid w:val="7E6B3AD2"/>
    <w:rsid w:val="7E6B66AB"/>
    <w:rsid w:val="7E806EC5"/>
    <w:rsid w:val="7EBE4F1D"/>
    <w:rsid w:val="7EEB3738"/>
    <w:rsid w:val="7F5F3007"/>
    <w:rsid w:val="7FBD5F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1"/>
    <w:pPr>
      <w:keepNext/>
      <w:keepLines/>
      <w:widowControl w:val="0"/>
      <w:spacing w:before="340" w:after="330" w:line="576" w:lineRule="auto"/>
      <w:outlineLvl w:val="0"/>
    </w:pPr>
    <w:rPr>
      <w:b/>
      <w:bCs/>
      <w:kern w:val="44"/>
      <w:sz w:val="44"/>
      <w:szCs w:val="44"/>
    </w:rPr>
  </w:style>
  <w:style w:type="paragraph" w:styleId="2">
    <w:name w:val="heading 2"/>
    <w:basedOn w:val="1"/>
    <w:next w:val="1"/>
    <w:qFormat/>
    <w:uiPriority w:val="0"/>
    <w:pPr>
      <w:keepNext/>
      <w:keepLines/>
      <w:spacing w:before="260" w:after="260" w:line="416" w:lineRule="auto"/>
      <w:jc w:val="center"/>
      <w:outlineLvl w:val="1"/>
    </w:pPr>
    <w:rPr>
      <w:rFonts w:ascii="Arial" w:hAnsi="Arial" w:eastAsia="黑体"/>
      <w:b/>
      <w:bCs/>
      <w:sz w:val="32"/>
      <w:szCs w:val="32"/>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Body Text"/>
    <w:basedOn w:val="1"/>
    <w:qFormat/>
    <w:uiPriority w:val="1"/>
    <w:pPr>
      <w:jc w:val="center"/>
    </w:pPr>
    <w:rPr>
      <w:sz w:val="52"/>
    </w:rPr>
  </w:style>
  <w:style w:type="paragraph" w:styleId="5">
    <w:name w:val="endnote text"/>
    <w:basedOn w:val="1"/>
    <w:unhideWhenUsed/>
    <w:qFormat/>
    <w:uiPriority w:val="99"/>
    <w:pPr>
      <w:snapToGrid w:val="0"/>
      <w:jc w:val="left"/>
    </w:p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next w:val="7"/>
    <w:qFormat/>
    <w:uiPriority w:val="0"/>
    <w:rPr>
      <w:rFonts w:ascii="Arial" w:hAnsi="Arial" w:eastAsia="宋体" w:cs="Times New Roman"/>
      <w:sz w:val="24"/>
      <w:lang w:val="en-US" w:eastAsia="zh-CN" w:bidi="ar-SA"/>
    </w:rPr>
  </w:style>
  <w:style w:type="character" w:customStyle="1" w:styleId="11">
    <w:name w:val="页脚 Char"/>
    <w:basedOn w:val="10"/>
    <w:link w:val="6"/>
    <w:semiHidden/>
    <w:qFormat/>
    <w:uiPriority w:val="99"/>
    <w:rPr>
      <w:sz w:val="18"/>
      <w:szCs w:val="18"/>
    </w:rPr>
  </w:style>
  <w:style w:type="character" w:customStyle="1" w:styleId="12">
    <w:name w:val="页眉 Char"/>
    <w:basedOn w:val="10"/>
    <w:link w:val="7"/>
    <w:semiHidden/>
    <w:qFormat/>
    <w:uiPriority w:val="99"/>
    <w:rPr>
      <w:sz w:val="18"/>
      <w:szCs w:val="18"/>
    </w:rPr>
  </w:style>
  <w:style w:type="character" w:customStyle="1" w:styleId="13">
    <w:name w:val="NormalCharacter"/>
    <w:qFormat/>
    <w:uiPriority w:val="0"/>
    <w:rPr>
      <w:rFonts w:ascii="Times New Roman" w:hAnsi="Times New Roman" w:eastAsia="宋体" w:cs="Times New Roman"/>
      <w:kern w:val="2"/>
      <w:sz w:val="21"/>
      <w:szCs w:val="24"/>
      <w:lang w:val="en-US" w:eastAsia="zh-CN" w:bidi="ar-SA"/>
    </w:rPr>
  </w:style>
  <w:style w:type="paragraph" w:styleId="14">
    <w:name w:val="List Paragraph"/>
    <w:basedOn w:val="1"/>
    <w:qFormat/>
    <w:uiPriority w:val="1"/>
    <w:pPr>
      <w:ind w:left="511"/>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国电长源电力股份有限公司</Company>
  <Pages>2</Pages>
  <Words>213</Words>
  <Characters>1220</Characters>
  <Lines>10</Lines>
  <Paragraphs>2</Paragraphs>
  <TotalTime>112</TotalTime>
  <ScaleCrop>false</ScaleCrop>
  <LinksUpToDate>false</LinksUpToDate>
  <CharactersWithSpaces>1431</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2016-06-13T08:55:00Z</dcterms:created>
  <dc:creator>毋亮/国电长源电力股份有限公司</dc:creator>
  <cp:lastModifiedBy>刘硕02</cp:lastModifiedBy>
  <dcterms:modified xsi:type="dcterms:W3CDTF">2026-10-13T03:20:41Z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543CE2D267C24BFA9252AE76484FE9E3_13</vt:lpwstr>
  </property>
</Properties>
</file>